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2F" w:rsidRPr="00592A2F" w:rsidRDefault="0041482F" w:rsidP="0041482F">
      <w:pPr>
        <w:jc w:val="center"/>
        <w:rPr>
          <w:rFonts w:ascii="Arial" w:hAnsi="Arial" w:cs="Arial"/>
          <w:b/>
          <w:color w:val="4BACC6" w:themeColor="accent5"/>
          <w:sz w:val="36"/>
        </w:rPr>
      </w:pPr>
      <w:r>
        <w:rPr>
          <w:rFonts w:ascii="Calibri Light" w:hAnsi="Calibri Light" w:cs="Calibri Ligh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98F292D" wp14:editId="642B7684">
            <wp:simplePos x="0" y="0"/>
            <wp:positionH relativeFrom="column">
              <wp:posOffset>133350</wp:posOffset>
            </wp:positionH>
            <wp:positionV relativeFrom="paragraph">
              <wp:posOffset>225425</wp:posOffset>
            </wp:positionV>
            <wp:extent cx="1210945" cy="1156335"/>
            <wp:effectExtent l="0" t="0" r="825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5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6E979E" wp14:editId="17BB774C">
            <wp:simplePos x="0" y="0"/>
            <wp:positionH relativeFrom="column">
              <wp:posOffset>8032115</wp:posOffset>
            </wp:positionH>
            <wp:positionV relativeFrom="paragraph">
              <wp:posOffset>225425</wp:posOffset>
            </wp:positionV>
            <wp:extent cx="1213485" cy="1158240"/>
            <wp:effectExtent l="0" t="0" r="571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A2F">
        <w:rPr>
          <w:rFonts w:ascii="Arial" w:hAnsi="Arial" w:cs="Arial"/>
          <w:b/>
          <w:color w:val="4BACC6" w:themeColor="accent5"/>
          <w:sz w:val="36"/>
        </w:rPr>
        <w:t xml:space="preserve">Year </w:t>
      </w:r>
      <w:r>
        <w:rPr>
          <w:rFonts w:ascii="Arial" w:hAnsi="Arial" w:cs="Arial"/>
          <w:b/>
          <w:color w:val="4BACC6" w:themeColor="accent5"/>
          <w:sz w:val="36"/>
        </w:rPr>
        <w:t>3 and 4</w:t>
      </w:r>
      <w:r w:rsidRPr="00592A2F">
        <w:rPr>
          <w:rFonts w:ascii="Arial" w:hAnsi="Arial" w:cs="Arial"/>
          <w:b/>
          <w:color w:val="4BACC6" w:themeColor="accent5"/>
          <w:sz w:val="36"/>
        </w:rPr>
        <w:t xml:space="preserve"> Curriculum Plan</w:t>
      </w:r>
      <w:r>
        <w:rPr>
          <w:rFonts w:ascii="Arial" w:hAnsi="Arial" w:cs="Arial"/>
          <w:b/>
          <w:color w:val="4BACC6" w:themeColor="accent5"/>
          <w:sz w:val="36"/>
        </w:rPr>
        <w:t xml:space="preserve"> </w:t>
      </w:r>
      <w:r w:rsidR="00B24F42">
        <w:rPr>
          <w:rFonts w:ascii="Arial" w:hAnsi="Arial" w:cs="Arial"/>
          <w:b/>
          <w:color w:val="4BACC6" w:themeColor="accent5"/>
          <w:sz w:val="36"/>
        </w:rPr>
        <w:t>–</w:t>
      </w:r>
      <w:r>
        <w:rPr>
          <w:rFonts w:ascii="Arial" w:hAnsi="Arial" w:cs="Arial"/>
          <w:b/>
          <w:color w:val="4BACC6" w:themeColor="accent5"/>
          <w:sz w:val="36"/>
        </w:rPr>
        <w:t xml:space="preserve"> </w:t>
      </w:r>
      <w:r w:rsidR="00371A7B">
        <w:rPr>
          <w:rFonts w:ascii="Arial" w:hAnsi="Arial" w:cs="Arial"/>
          <w:b/>
          <w:color w:val="4BACC6" w:themeColor="accent5"/>
          <w:sz w:val="36"/>
        </w:rPr>
        <w:t>French</w:t>
      </w:r>
    </w:p>
    <w:p w:rsidR="0041482F" w:rsidRPr="00592A2F" w:rsidRDefault="0041482F" w:rsidP="0041482F">
      <w:pPr>
        <w:ind w:hanging="709"/>
        <w:jc w:val="center"/>
        <w:rPr>
          <w:rFonts w:ascii="Arial" w:hAnsi="Arial" w:cs="Arial"/>
          <w:b/>
          <w:color w:val="4BACC6" w:themeColor="accent5"/>
          <w:sz w:val="28"/>
        </w:rPr>
      </w:pPr>
      <w:r w:rsidRPr="00592A2F">
        <w:rPr>
          <w:rFonts w:ascii="Arial" w:hAnsi="Arial" w:cs="Arial"/>
          <w:b/>
          <w:color w:val="4BACC6" w:themeColor="accent5"/>
          <w:sz w:val="28"/>
        </w:rPr>
        <w:t>With exploring minds and faith; we grow and learn together</w:t>
      </w:r>
    </w:p>
    <w:p w:rsidR="0041482F" w:rsidRPr="00592A2F" w:rsidRDefault="0041482F" w:rsidP="0041482F">
      <w:pPr>
        <w:rPr>
          <w:rFonts w:ascii="Arial" w:hAnsi="Arial" w:cs="Arial"/>
          <w:b/>
          <w:sz w:val="28"/>
        </w:rPr>
      </w:pPr>
    </w:p>
    <w:p w:rsidR="0041482F" w:rsidRPr="00592A2F" w:rsidRDefault="0041482F" w:rsidP="0041482F">
      <w:pPr>
        <w:rPr>
          <w:rFonts w:ascii="Arial" w:hAnsi="Arial" w:cs="Arial"/>
          <w:noProof/>
          <w:color w:val="000000" w:themeColor="text1"/>
          <w:sz w:val="96"/>
        </w:rPr>
      </w:pPr>
      <w:r w:rsidRPr="00592A2F">
        <w:rPr>
          <w:rFonts w:ascii="Arial" w:hAnsi="Arial" w:cs="Arial"/>
          <w:b/>
          <w:sz w:val="28"/>
        </w:rPr>
        <w:t xml:space="preserve">The intention of our curriculum at </w:t>
      </w:r>
      <w:r>
        <w:rPr>
          <w:rFonts w:ascii="Arial" w:hAnsi="Arial" w:cs="Arial"/>
          <w:b/>
          <w:sz w:val="28"/>
        </w:rPr>
        <w:t xml:space="preserve">St James’ C of E Junior School </w:t>
      </w:r>
      <w:r w:rsidRPr="00592A2F">
        <w:rPr>
          <w:rFonts w:ascii="Arial" w:hAnsi="Arial" w:cs="Arial"/>
          <w:b/>
          <w:sz w:val="28"/>
        </w:rPr>
        <w:t>is to:</w:t>
      </w:r>
      <w:r w:rsidRPr="00592A2F">
        <w:rPr>
          <w:rFonts w:ascii="Arial" w:hAnsi="Arial" w:cs="Arial"/>
          <w:noProof/>
          <w:color w:val="000000" w:themeColor="text1"/>
          <w:sz w:val="96"/>
        </w:rPr>
        <w:t xml:space="preserve"> </w:t>
      </w:r>
    </w:p>
    <w:p w:rsidR="0041482F" w:rsidRPr="00592A2F" w:rsidRDefault="0041482F" w:rsidP="0041482F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30"/>
          <w:lang w:eastAsia="en-GB"/>
        </w:rPr>
      </w:pPr>
      <w:r w:rsidRPr="00592A2F">
        <w:rPr>
          <w:rFonts w:ascii="Arial" w:eastAsia="Times New Roman" w:hAnsi="Arial" w:cs="Arial"/>
          <w:color w:val="000000"/>
          <w:sz w:val="24"/>
          <w:szCs w:val="30"/>
          <w:lang w:eastAsia="en-GB"/>
        </w:rPr>
        <w:t xml:space="preserve">Learning is memorable at St James; a relentless focus on the learner helps our skilled staff plan diverse and rich activities that engage children in a way that makes learning stick. Our unique approach of ‘Learning to learn’ gives children life-long study skills. Children here soon become independent ‘finder outers’. Driven by a passion for study children develop self-confidence and independence. Traditional “chalk &amp; talk” strategies don’t fit with us here at St James’. Instead, teachers facilitate the learning with big questions and frequent opportunities for discussion and exploration, whether that </w:t>
      </w:r>
      <w:proofErr w:type="gramStart"/>
      <w:r w:rsidRPr="00592A2F">
        <w:rPr>
          <w:rFonts w:ascii="Arial" w:eastAsia="Times New Roman" w:hAnsi="Arial" w:cs="Arial"/>
          <w:color w:val="000000"/>
          <w:sz w:val="24"/>
          <w:szCs w:val="30"/>
          <w:lang w:eastAsia="en-GB"/>
        </w:rPr>
        <w:t>be</w:t>
      </w:r>
      <w:proofErr w:type="gramEnd"/>
      <w:r w:rsidRPr="00592A2F">
        <w:rPr>
          <w:rFonts w:ascii="Arial" w:eastAsia="Times New Roman" w:hAnsi="Arial" w:cs="Arial"/>
          <w:color w:val="000000"/>
          <w:sz w:val="24"/>
          <w:szCs w:val="30"/>
          <w:lang w:eastAsia="en-GB"/>
        </w:rPr>
        <w:t xml:space="preserve"> individually or collectively in groups. </w:t>
      </w:r>
    </w:p>
    <w:p w:rsidR="0041482F" w:rsidRDefault="0041482F" w:rsidP="0041482F">
      <w:pPr>
        <w:spacing w:after="0" w:line="432" w:lineRule="atLeast"/>
        <w:rPr>
          <w:rFonts w:ascii="Arial" w:eastAsia="Times New Roman" w:hAnsi="Arial" w:cs="Arial"/>
          <w:color w:val="000000"/>
          <w:sz w:val="24"/>
          <w:szCs w:val="30"/>
          <w:lang w:eastAsia="en-GB"/>
        </w:rPr>
      </w:pPr>
      <w:r w:rsidRPr="00592A2F">
        <w:rPr>
          <w:rFonts w:ascii="Arial" w:eastAsia="Times New Roman" w:hAnsi="Arial" w:cs="Arial"/>
          <w:color w:val="000000"/>
          <w:sz w:val="24"/>
          <w:szCs w:val="30"/>
          <w:lang w:eastAsia="en-GB"/>
        </w:rPr>
        <w:t xml:space="preserve">In short, teachers seeing the lesson through the eyes of the learner allows for high quality teaching and learning across the school. </w:t>
      </w:r>
    </w:p>
    <w:p w:rsidR="00EC1E46" w:rsidRDefault="00EC1E46"/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2390"/>
        <w:gridCol w:w="2391"/>
        <w:gridCol w:w="2391"/>
        <w:gridCol w:w="2391"/>
        <w:gridCol w:w="2391"/>
        <w:gridCol w:w="2391"/>
      </w:tblGrid>
      <w:tr w:rsidR="00371A7B" w:rsidRPr="00482BC6" w:rsidTr="00BB077A">
        <w:trPr>
          <w:trHeight w:val="414"/>
        </w:trPr>
        <w:tc>
          <w:tcPr>
            <w:tcW w:w="1248" w:type="dxa"/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5" w:type="dxa"/>
            <w:gridSpan w:val="6"/>
            <w:vAlign w:val="center"/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French</w:t>
            </w:r>
          </w:p>
        </w:tc>
      </w:tr>
      <w:tr w:rsidR="00371A7B" w:rsidRPr="00482BC6" w:rsidTr="00BB077A">
        <w:trPr>
          <w:trHeight w:val="245"/>
        </w:trPr>
        <w:tc>
          <w:tcPr>
            <w:tcW w:w="1248" w:type="dxa"/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1" w:type="dxa"/>
            <w:gridSpan w:val="2"/>
            <w:vAlign w:val="center"/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  <w:b/>
              </w:rPr>
            </w:pPr>
            <w:r w:rsidRPr="00592A2F"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4782" w:type="dxa"/>
            <w:gridSpan w:val="2"/>
            <w:vAlign w:val="center"/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  <w:b/>
              </w:rPr>
            </w:pPr>
            <w:r w:rsidRPr="00592A2F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4782" w:type="dxa"/>
            <w:gridSpan w:val="2"/>
            <w:vAlign w:val="center"/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  <w:b/>
              </w:rPr>
            </w:pPr>
            <w:r w:rsidRPr="00592A2F">
              <w:rPr>
                <w:rFonts w:ascii="Arial" w:hAnsi="Arial" w:cs="Arial"/>
                <w:b/>
              </w:rPr>
              <w:t>Summer</w:t>
            </w:r>
          </w:p>
        </w:tc>
      </w:tr>
      <w:tr w:rsidR="00371A7B" w:rsidRPr="00482BC6" w:rsidTr="00BB077A">
        <w:trPr>
          <w:trHeight w:val="837"/>
        </w:trPr>
        <w:tc>
          <w:tcPr>
            <w:tcW w:w="1248" w:type="dxa"/>
            <w:vAlign w:val="center"/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 w:rsidRPr="00592A2F">
              <w:rPr>
                <w:rFonts w:ascii="Arial" w:hAnsi="Arial" w:cs="Arial"/>
              </w:rPr>
              <w:t>Cycle 1</w:t>
            </w:r>
          </w:p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 w:rsidRPr="00592A2F">
              <w:rPr>
                <w:rFonts w:ascii="Arial" w:hAnsi="Arial" w:cs="Arial"/>
              </w:rPr>
              <w:t>2018/19</w:t>
            </w:r>
          </w:p>
        </w:tc>
        <w:tc>
          <w:tcPr>
            <w:tcW w:w="2390" w:type="dxa"/>
            <w:tcBorders>
              <w:right w:val="single" w:sz="2" w:space="0" w:color="auto"/>
            </w:tcBorders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Locations and Greetings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Counting to 10 and the Classroom</w:t>
            </w:r>
          </w:p>
        </w:tc>
        <w:tc>
          <w:tcPr>
            <w:tcW w:w="2391" w:type="dxa"/>
            <w:tcBorders>
              <w:right w:val="single" w:sz="2" w:space="0" w:color="auto"/>
            </w:tcBorders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greetings and counting to 20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Days of the week, weather and alphabet</w:t>
            </w:r>
          </w:p>
        </w:tc>
        <w:tc>
          <w:tcPr>
            <w:tcW w:w="2391" w:type="dxa"/>
            <w:tcBorders>
              <w:right w:val="single" w:sz="2" w:space="0" w:color="auto"/>
            </w:tcBorders>
          </w:tcPr>
          <w:p w:rsidR="00371A7B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Counting</w:t>
            </w:r>
          </w:p>
          <w:p w:rsidR="00371A7B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Family</w:t>
            </w:r>
          </w:p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Colours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371A7B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</w:t>
            </w:r>
          </w:p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Counting to 40</w:t>
            </w:r>
          </w:p>
        </w:tc>
      </w:tr>
      <w:tr w:rsidR="00371A7B" w:rsidRPr="00482BC6" w:rsidTr="00BB077A">
        <w:trPr>
          <w:trHeight w:val="837"/>
        </w:trPr>
        <w:tc>
          <w:tcPr>
            <w:tcW w:w="1248" w:type="dxa"/>
            <w:vAlign w:val="center"/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 w:rsidRPr="00592A2F">
              <w:rPr>
                <w:rFonts w:ascii="Arial" w:hAnsi="Arial" w:cs="Arial"/>
              </w:rPr>
              <w:t xml:space="preserve">Cycle 2 </w:t>
            </w:r>
          </w:p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 w:rsidRPr="00592A2F">
              <w:rPr>
                <w:rFonts w:ascii="Arial" w:hAnsi="Arial" w:cs="Arial"/>
              </w:rPr>
              <w:t>2019/20</w:t>
            </w:r>
          </w:p>
        </w:tc>
        <w:tc>
          <w:tcPr>
            <w:tcW w:w="2390" w:type="dxa"/>
            <w:tcBorders>
              <w:right w:val="single" w:sz="2" w:space="0" w:color="auto"/>
            </w:tcBorders>
          </w:tcPr>
          <w:p w:rsidR="00371A7B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Countries surrounding France </w:t>
            </w:r>
          </w:p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371A7B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Telling the time </w:t>
            </w:r>
          </w:p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2391" w:type="dxa"/>
            <w:tcBorders>
              <w:right w:val="single" w:sz="2" w:space="0" w:color="auto"/>
            </w:tcBorders>
          </w:tcPr>
          <w:p w:rsidR="00371A7B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Routines</w:t>
            </w:r>
          </w:p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371A7B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Months of the year</w:t>
            </w:r>
          </w:p>
          <w:p w:rsidR="00371A7B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Birthdays</w:t>
            </w:r>
          </w:p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 revision</w:t>
            </w:r>
          </w:p>
        </w:tc>
        <w:tc>
          <w:tcPr>
            <w:tcW w:w="2391" w:type="dxa"/>
            <w:tcBorders>
              <w:right w:val="single" w:sz="2" w:space="0" w:color="auto"/>
            </w:tcBorders>
          </w:tcPr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adjectives including colours</w:t>
            </w:r>
          </w:p>
        </w:tc>
        <w:tc>
          <w:tcPr>
            <w:tcW w:w="2391" w:type="dxa"/>
            <w:tcBorders>
              <w:left w:val="single" w:sz="2" w:space="0" w:color="auto"/>
            </w:tcBorders>
          </w:tcPr>
          <w:p w:rsidR="00371A7B" w:rsidRDefault="00371A7B" w:rsidP="00BB077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Petshop</w:t>
            </w:r>
            <w:proofErr w:type="spellEnd"/>
          </w:p>
          <w:p w:rsidR="00371A7B" w:rsidRPr="00592A2F" w:rsidRDefault="00371A7B" w:rsidP="00BB0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</w:t>
            </w:r>
          </w:p>
        </w:tc>
      </w:tr>
    </w:tbl>
    <w:p w:rsidR="0041482F" w:rsidRDefault="0041482F"/>
    <w:p w:rsidR="0041482F" w:rsidRDefault="0041482F"/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8818"/>
        <w:gridCol w:w="1152"/>
        <w:gridCol w:w="1153"/>
        <w:gridCol w:w="1153"/>
        <w:gridCol w:w="1153"/>
        <w:gridCol w:w="1153"/>
        <w:gridCol w:w="1153"/>
      </w:tblGrid>
      <w:tr w:rsidR="00371A7B" w:rsidTr="00BB077A">
        <w:trPr>
          <w:cantSplit/>
          <w:trHeight w:val="337"/>
        </w:trPr>
        <w:tc>
          <w:tcPr>
            <w:tcW w:w="8818" w:type="dxa"/>
            <w:vMerge w:val="restart"/>
            <w:vAlign w:val="center"/>
          </w:tcPr>
          <w:p w:rsidR="00371A7B" w:rsidRDefault="00371A7B" w:rsidP="00BB077A">
            <w:pPr>
              <w:rPr>
                <w:b/>
              </w:rPr>
            </w:pPr>
            <w:r w:rsidRPr="00B15E08">
              <w:rPr>
                <w:b/>
                <w:color w:val="4BACC6" w:themeColor="accent5"/>
              </w:rPr>
              <w:lastRenderedPageBreak/>
              <w:t xml:space="preserve">Languages </w:t>
            </w:r>
            <w:r>
              <w:rPr>
                <w:b/>
              </w:rPr>
              <w:t xml:space="preserve">National Curriculum Expectations </w:t>
            </w:r>
            <w:proofErr w:type="spellStart"/>
            <w:r>
              <w:rPr>
                <w:b/>
              </w:rPr>
              <w:t>LKS2</w:t>
            </w:r>
            <w:proofErr w:type="spellEnd"/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:rsidR="00371A7B" w:rsidRDefault="00371A7B" w:rsidP="00BB077A">
            <w:pPr>
              <w:jc w:val="center"/>
            </w:pPr>
            <w:r>
              <w:rPr>
                <w:b/>
              </w:rPr>
              <w:t>Cycle 1 18/19</w:t>
            </w:r>
          </w:p>
        </w:tc>
        <w:tc>
          <w:tcPr>
            <w:tcW w:w="3459" w:type="dxa"/>
            <w:gridSpan w:val="3"/>
            <w:vAlign w:val="center"/>
          </w:tcPr>
          <w:p w:rsidR="00371A7B" w:rsidRDefault="00371A7B" w:rsidP="00BB077A">
            <w:pPr>
              <w:jc w:val="center"/>
            </w:pPr>
            <w:r>
              <w:rPr>
                <w:b/>
              </w:rPr>
              <w:t>Cycle 2 19/20</w:t>
            </w: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Merge/>
            <w:vAlign w:val="center"/>
          </w:tcPr>
          <w:p w:rsidR="00371A7B" w:rsidRPr="0001195D" w:rsidRDefault="00371A7B" w:rsidP="00BB077A">
            <w:pPr>
              <w:rPr>
                <w:b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5B5CA4">
              <w:rPr>
                <w:rFonts w:ascii="Calibri Light" w:hAnsi="Calibri Light" w:cs="Calibri Light"/>
                <w:sz w:val="20"/>
              </w:rPr>
              <w:t>Autumn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5B5CA4">
              <w:rPr>
                <w:rFonts w:ascii="Calibri Light" w:hAnsi="Calibri Light" w:cs="Calibri Light"/>
                <w:sz w:val="20"/>
              </w:rPr>
              <w:t>Spring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5B5CA4">
              <w:rPr>
                <w:rFonts w:ascii="Calibri Light" w:hAnsi="Calibri Light" w:cs="Calibri Light"/>
                <w:sz w:val="20"/>
              </w:rPr>
              <w:t>Summer</w:t>
            </w:r>
          </w:p>
        </w:tc>
        <w:tc>
          <w:tcPr>
            <w:tcW w:w="1153" w:type="dxa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5B5CA4">
              <w:rPr>
                <w:rFonts w:ascii="Calibri Light" w:hAnsi="Calibri Light" w:cs="Calibri Light"/>
                <w:sz w:val="20"/>
              </w:rPr>
              <w:t>Autumn</w:t>
            </w:r>
          </w:p>
        </w:tc>
        <w:tc>
          <w:tcPr>
            <w:tcW w:w="1153" w:type="dxa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5B5CA4">
              <w:rPr>
                <w:rFonts w:ascii="Calibri Light" w:hAnsi="Calibri Light" w:cs="Calibri Light"/>
                <w:sz w:val="20"/>
              </w:rPr>
              <w:t>Spring</w:t>
            </w:r>
          </w:p>
        </w:tc>
        <w:tc>
          <w:tcPr>
            <w:tcW w:w="1153" w:type="dxa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5B5CA4">
              <w:rPr>
                <w:rFonts w:ascii="Calibri Light" w:hAnsi="Calibri Light" w:cs="Calibri Light"/>
                <w:sz w:val="20"/>
              </w:rPr>
              <w:t>Summer</w:t>
            </w: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590B5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listen attentively to spoken language and show understanding by joining in and responding</w:t>
            </w:r>
          </w:p>
        </w:tc>
        <w:tc>
          <w:tcPr>
            <w:tcW w:w="1152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explore the patterns and sounds of language through songs and rhymes and link the spelling, sound and meaning of words</w:t>
            </w:r>
          </w:p>
        </w:tc>
        <w:tc>
          <w:tcPr>
            <w:tcW w:w="1152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590B5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engage in conversations; ask and answer questions; express opinions and respond to those of others; seek clarification and help*</w:t>
            </w:r>
          </w:p>
        </w:tc>
        <w:tc>
          <w:tcPr>
            <w:tcW w:w="1152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590B5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speak in sentences, using familiar vocabulary, phrases and basic language structures</w:t>
            </w:r>
          </w:p>
        </w:tc>
        <w:tc>
          <w:tcPr>
            <w:tcW w:w="1152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develop accurate pronunciation and intonation so that others understand when they are</w:t>
            </w:r>
          </w:p>
        </w:tc>
        <w:tc>
          <w:tcPr>
            <w:tcW w:w="1152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reading aloud or using familiar words and phrases*</w:t>
            </w:r>
          </w:p>
        </w:tc>
        <w:tc>
          <w:tcPr>
            <w:tcW w:w="1152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present ideas and information orally to a range of audiences*</w:t>
            </w:r>
          </w:p>
        </w:tc>
        <w:tc>
          <w:tcPr>
            <w:tcW w:w="1152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read carefully and show understanding of words, phrases and simple writing</w:t>
            </w:r>
          </w:p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appreciate stories, songs, poems and rhymes in the language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broaden their vocabulary and develop their ability to understand new words that are introduced into familiar written material, including through using a dictionary</w:t>
            </w:r>
          </w:p>
        </w:tc>
        <w:tc>
          <w:tcPr>
            <w:tcW w:w="1152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write phrases from memory, and adapt these to create new sentences, to express ideas clearly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BB077A">
        <w:trPr>
          <w:cantSplit/>
          <w:trHeight w:val="543"/>
        </w:trPr>
        <w:tc>
          <w:tcPr>
            <w:tcW w:w="8818" w:type="dxa"/>
            <w:vAlign w:val="center"/>
          </w:tcPr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2C5C29">
              <w:rPr>
                <w:rFonts w:ascii="Calibri Light" w:hAnsi="Calibri Light" w:cs="Calibri Light"/>
              </w:rPr>
              <w:t>describe people, places, things and actions orally* and in writing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371A7B" w:rsidRPr="005B5CA4" w:rsidTr="00535E8C">
        <w:trPr>
          <w:cantSplit/>
          <w:trHeight w:val="543"/>
        </w:trPr>
        <w:tc>
          <w:tcPr>
            <w:tcW w:w="8818" w:type="dxa"/>
            <w:vAlign w:val="center"/>
          </w:tcPr>
          <w:p w:rsidR="00371A7B" w:rsidRDefault="00371A7B" w:rsidP="00BB077A">
            <w:pPr>
              <w:rPr>
                <w:rFonts w:ascii="Calibri Light" w:hAnsi="Calibri Light" w:cs="Calibri Light"/>
              </w:rPr>
            </w:pPr>
            <w:bookmarkStart w:id="0" w:name="_GoBack" w:colFirst="1" w:colLast="6"/>
            <w:proofErr w:type="gramStart"/>
            <w:r w:rsidRPr="00590B59">
              <w:rPr>
                <w:rFonts w:ascii="Calibri Light" w:hAnsi="Calibri Light" w:cs="Calibri Light"/>
              </w:rPr>
              <w:t>understand</w:t>
            </w:r>
            <w:proofErr w:type="gramEnd"/>
            <w:r w:rsidRPr="00590B59">
              <w:rPr>
                <w:rFonts w:ascii="Calibri Light" w:hAnsi="Calibri Light" w:cs="Calibri Light"/>
              </w:rPr>
              <w:t xml:space="preserve">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  <w:p w:rsidR="00371A7B" w:rsidRPr="002C5C29" w:rsidRDefault="00371A7B" w:rsidP="00BB077A">
            <w:pPr>
              <w:rPr>
                <w:rFonts w:ascii="Calibri Light" w:hAnsi="Calibri Light" w:cs="Calibri Light"/>
              </w:rPr>
            </w:pPr>
            <w:r w:rsidRPr="00590B59">
              <w:rPr>
                <w:rFonts w:ascii="Calibri Light" w:hAnsi="Calibri Light" w:cs="Calibri Light"/>
              </w:rPr>
              <w:t>The starred (*) content above will not be applicable to ancient languages.</w:t>
            </w:r>
          </w:p>
        </w:tc>
        <w:tc>
          <w:tcPr>
            <w:tcW w:w="1152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53" w:type="dxa"/>
            <w:shd w:val="clear" w:color="auto" w:fill="00B0F0"/>
            <w:vAlign w:val="center"/>
          </w:tcPr>
          <w:p w:rsidR="00371A7B" w:rsidRPr="005B5CA4" w:rsidRDefault="00371A7B" w:rsidP="00BB077A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bookmarkEnd w:id="0"/>
    </w:tbl>
    <w:p w:rsidR="0041482F" w:rsidRDefault="0041482F"/>
    <w:p w:rsidR="00855BFC" w:rsidRDefault="00855BFC"/>
    <w:sectPr w:rsidR="00855BFC" w:rsidSect="00414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3BD"/>
    <w:multiLevelType w:val="hybridMultilevel"/>
    <w:tmpl w:val="462A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E0F"/>
    <w:multiLevelType w:val="hybridMultilevel"/>
    <w:tmpl w:val="3B96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4D43"/>
    <w:multiLevelType w:val="hybridMultilevel"/>
    <w:tmpl w:val="0C68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D3100"/>
    <w:multiLevelType w:val="hybridMultilevel"/>
    <w:tmpl w:val="01C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217A4"/>
    <w:multiLevelType w:val="hybridMultilevel"/>
    <w:tmpl w:val="3FB6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80C18"/>
    <w:multiLevelType w:val="hybridMultilevel"/>
    <w:tmpl w:val="6FBE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E4F6C"/>
    <w:multiLevelType w:val="hybridMultilevel"/>
    <w:tmpl w:val="533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337D3"/>
    <w:multiLevelType w:val="hybridMultilevel"/>
    <w:tmpl w:val="C9E4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161BB"/>
    <w:multiLevelType w:val="hybridMultilevel"/>
    <w:tmpl w:val="2FD0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8010D"/>
    <w:multiLevelType w:val="hybridMultilevel"/>
    <w:tmpl w:val="F432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C7A07"/>
    <w:multiLevelType w:val="hybridMultilevel"/>
    <w:tmpl w:val="533C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A3F87"/>
    <w:multiLevelType w:val="hybridMultilevel"/>
    <w:tmpl w:val="C0C4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428B2"/>
    <w:multiLevelType w:val="hybridMultilevel"/>
    <w:tmpl w:val="F618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9174F"/>
    <w:multiLevelType w:val="hybridMultilevel"/>
    <w:tmpl w:val="D71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13FB9"/>
    <w:multiLevelType w:val="hybridMultilevel"/>
    <w:tmpl w:val="C7A2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87D72"/>
    <w:multiLevelType w:val="hybridMultilevel"/>
    <w:tmpl w:val="C192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5059D"/>
    <w:multiLevelType w:val="hybridMultilevel"/>
    <w:tmpl w:val="2EC6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34354"/>
    <w:multiLevelType w:val="hybridMultilevel"/>
    <w:tmpl w:val="798E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15364"/>
    <w:multiLevelType w:val="hybridMultilevel"/>
    <w:tmpl w:val="B526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2"/>
  </w:num>
  <w:num w:numId="7">
    <w:abstractNumId w:val="0"/>
  </w:num>
  <w:num w:numId="8">
    <w:abstractNumId w:val="5"/>
  </w:num>
  <w:num w:numId="9">
    <w:abstractNumId w:val="17"/>
  </w:num>
  <w:num w:numId="10">
    <w:abstractNumId w:val="14"/>
  </w:num>
  <w:num w:numId="11">
    <w:abstractNumId w:val="10"/>
  </w:num>
  <w:num w:numId="12">
    <w:abstractNumId w:val="16"/>
  </w:num>
  <w:num w:numId="13">
    <w:abstractNumId w:val="1"/>
  </w:num>
  <w:num w:numId="14">
    <w:abstractNumId w:val="18"/>
  </w:num>
  <w:num w:numId="15">
    <w:abstractNumId w:val="15"/>
  </w:num>
  <w:num w:numId="16">
    <w:abstractNumId w:val="3"/>
  </w:num>
  <w:num w:numId="17">
    <w:abstractNumId w:val="9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2F"/>
    <w:rsid w:val="00150312"/>
    <w:rsid w:val="002B03B7"/>
    <w:rsid w:val="00371A7B"/>
    <w:rsid w:val="0041482F"/>
    <w:rsid w:val="00535E8C"/>
    <w:rsid w:val="005C0072"/>
    <w:rsid w:val="00855BFC"/>
    <w:rsid w:val="00A50C52"/>
    <w:rsid w:val="00B24F42"/>
    <w:rsid w:val="00C070AF"/>
    <w:rsid w:val="00DF29EA"/>
    <w:rsid w:val="00E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2020-01-09T10:02:00Z</dcterms:created>
  <dcterms:modified xsi:type="dcterms:W3CDTF">2020-01-09T10:07:00Z</dcterms:modified>
</cp:coreProperties>
</file>